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6DAED" w14:textId="39EDC44E" w:rsidR="00EE2DAB" w:rsidRPr="009677A0" w:rsidRDefault="009677A0" w:rsidP="009677A0">
      <w:pPr>
        <w:pStyle w:val="Heading1"/>
        <w:jc w:val="center"/>
        <w:rPr>
          <w:b/>
          <w:bCs/>
          <w:color w:val="000000" w:themeColor="text1"/>
          <w:sz w:val="36"/>
          <w:szCs w:val="36"/>
        </w:rPr>
      </w:pPr>
      <w:r>
        <w:rPr>
          <w:b/>
          <w:bCs/>
          <w:color w:val="000000" w:themeColor="text1"/>
          <w:sz w:val="36"/>
          <w:szCs w:val="36"/>
        </w:rPr>
        <w:t xml:space="preserve">                                        </w:t>
      </w:r>
      <w:r w:rsidR="00900A39">
        <w:rPr>
          <w:b/>
          <w:bCs/>
          <w:color w:val="000000" w:themeColor="text1"/>
          <w:sz w:val="36"/>
          <w:szCs w:val="36"/>
        </w:rPr>
        <w:t xml:space="preserve"> </w:t>
      </w:r>
      <w:r>
        <w:rPr>
          <w:b/>
          <w:bCs/>
          <w:color w:val="000000" w:themeColor="text1"/>
          <w:sz w:val="36"/>
          <w:szCs w:val="36"/>
        </w:rPr>
        <w:t>“Teaching Up” Principles</w:t>
      </w:r>
      <w:r>
        <w:rPr>
          <w:rFonts w:cstheme="minorHAnsi"/>
          <w:noProof/>
          <w:color w:val="333333"/>
          <w:sz w:val="28"/>
          <w:szCs w:val="28"/>
          <w:shd w:val="clear" w:color="auto" w:fill="FCFCFC"/>
        </w:rPr>
        <w:drawing>
          <wp:inline distT="0" distB="0" distL="0" distR="0" wp14:anchorId="356A31D9" wp14:editId="47E9A765">
            <wp:extent cx="8713470" cy="3656623"/>
            <wp:effectExtent l="0" t="12700" r="0" b="26670"/>
            <wp:docPr id="63" name="Diagram 63" descr="&quot;Teaching Up&quot; Principles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640C39CC" w14:textId="77777777" w:rsidR="009677A0" w:rsidRPr="009677A0" w:rsidRDefault="009677A0">
      <w:pPr>
        <w:rPr>
          <w:sz w:val="12"/>
          <w:szCs w:val="12"/>
        </w:rPr>
      </w:pPr>
    </w:p>
    <w:p w14:paraId="1C515490" w14:textId="77777777" w:rsidR="00C60CCA" w:rsidRDefault="00C60CCA"/>
    <w:p w14:paraId="491EC4AE" w14:textId="7C888488" w:rsidR="00DF7D9D" w:rsidRDefault="009677A0">
      <w:r>
        <w:rPr>
          <w:rFonts w:cstheme="minorHAnsi"/>
          <w:noProof/>
          <w:color w:val="333333"/>
          <w:sz w:val="28"/>
          <w:szCs w:val="28"/>
          <w:shd w:val="clear" w:color="auto" w:fill="FCFCFC"/>
        </w:rPr>
        <w:drawing>
          <wp:inline distT="0" distB="0" distL="0" distR="0" wp14:anchorId="22A23CA7" wp14:editId="1A682A3A">
            <wp:extent cx="8672830" cy="4925060"/>
            <wp:effectExtent l="0" t="0" r="0" b="40640"/>
            <wp:docPr id="71" name="Diagram 71" descr="&quot;Teaching Up&quot; Principles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DF7D9D" w:rsidSect="009677A0">
      <w:pgSz w:w="12240" w:h="15840"/>
      <w:pgMar w:top="360" w:right="36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9D"/>
    <w:rsid w:val="001A11C3"/>
    <w:rsid w:val="00454A93"/>
    <w:rsid w:val="007C41C8"/>
    <w:rsid w:val="0085065C"/>
    <w:rsid w:val="00900A39"/>
    <w:rsid w:val="009677A0"/>
    <w:rsid w:val="00B80F3C"/>
    <w:rsid w:val="00C60CCA"/>
    <w:rsid w:val="00DF7D9D"/>
    <w:rsid w:val="00F72FE7"/>
    <w:rsid w:val="00FB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C52B"/>
  <w15:chartTrackingRefBased/>
  <w15:docId w15:val="{36A4F10E-5A07-344B-B4EC-962EBFDE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D9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D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A2ACE8-28C9-DF4B-A584-4ED146DC76D7}" type="doc">
      <dgm:prSet loTypeId="urn:microsoft.com/office/officeart/2005/8/layout/vList3" loCatId="" qsTypeId="urn:microsoft.com/office/officeart/2005/8/quickstyle/simple1" qsCatId="simple" csTypeId="urn:microsoft.com/office/officeart/2005/8/colors/colorful1" csCatId="colorful" phldr="1"/>
      <dgm:spPr/>
    </dgm:pt>
    <dgm:pt modelId="{4A6CD6B5-4499-1B4A-AD5E-F1D22F249FF5}">
      <dgm:prSet phldrT="[Text]" custT="1"/>
      <dgm:spPr/>
      <dgm:t>
        <a:bodyPr/>
        <a:lstStyle/>
        <a:p>
          <a:pPr algn="l">
            <a:buFont typeface="+mj-lt"/>
            <a:buAutoNum type="arabicPeriod"/>
          </a:pPr>
          <a:r>
            <a:rPr lang="en-US" sz="1250">
              <a:solidFill>
                <a:schemeClr val="tx1"/>
              </a:solidFill>
            </a:rPr>
            <a:t>Human differences are normal and desirable. Learning is enriched by different perspectives and learners gain meaningful associations with learners of different ethnicities, languages, experiences, economic backgrounds, and abilities.</a:t>
          </a:r>
        </a:p>
      </dgm:t>
    </dgm:pt>
    <dgm:pt modelId="{E41EFFB6-332B-054D-BA5C-9F078BF4B487}" type="parTrans" cxnId="{43DA2791-36CE-3147-9818-66692768F9FA}">
      <dgm:prSet/>
      <dgm:spPr/>
      <dgm:t>
        <a:bodyPr/>
        <a:lstStyle/>
        <a:p>
          <a:endParaRPr lang="en-US"/>
        </a:p>
      </dgm:t>
    </dgm:pt>
    <dgm:pt modelId="{87B264F5-1577-A146-8CB2-CC62EA0AF01B}" type="sibTrans" cxnId="{43DA2791-36CE-3147-9818-66692768F9FA}">
      <dgm:prSet/>
      <dgm:spPr/>
      <dgm:t>
        <a:bodyPr/>
        <a:lstStyle/>
        <a:p>
          <a:endParaRPr lang="en-US"/>
        </a:p>
      </dgm:t>
    </dgm:pt>
    <dgm:pt modelId="{A97ADF21-7704-E64B-8D03-643D7AEC5476}">
      <dgm:prSet phldrT="[Text]" custT="1"/>
      <dgm:spPr/>
      <dgm:t>
        <a:bodyPr/>
        <a:lstStyle/>
        <a:p>
          <a:pPr algn="l">
            <a:buFont typeface="+mj-lt"/>
            <a:buAutoNum type="arabicPeriod"/>
          </a:pPr>
          <a:r>
            <a:rPr lang="en-US" sz="1250">
              <a:solidFill>
                <a:schemeClr val="tx1"/>
              </a:solidFill>
            </a:rPr>
            <a:t>A “Growth Mindset” described by Carol Dweck (2015) helps teachers to access excellent learning opportunities for all students because learning is possible for all students, not just those who come from higher socioeconomic status homes. Student effort is the key to academic growth and success. </a:t>
          </a:r>
        </a:p>
      </dgm:t>
    </dgm:pt>
    <dgm:pt modelId="{F0C8A33F-2978-9D43-84D5-B58AB401594B}" type="parTrans" cxnId="{1AEDF522-A5B2-5A49-8B8D-06BD604AD252}">
      <dgm:prSet/>
      <dgm:spPr/>
      <dgm:t>
        <a:bodyPr/>
        <a:lstStyle/>
        <a:p>
          <a:endParaRPr lang="en-US"/>
        </a:p>
      </dgm:t>
    </dgm:pt>
    <dgm:pt modelId="{0E307CAC-437E-5D4F-BE6B-59255524AC42}" type="sibTrans" cxnId="{1AEDF522-A5B2-5A49-8B8D-06BD604AD252}">
      <dgm:prSet/>
      <dgm:spPr/>
      <dgm:t>
        <a:bodyPr/>
        <a:lstStyle/>
        <a:p>
          <a:endParaRPr lang="en-US"/>
        </a:p>
      </dgm:t>
    </dgm:pt>
    <dgm:pt modelId="{555EE80D-A863-BB41-80B7-B3DB3FAC090F}">
      <dgm:prSet phldrT="[Text]" custT="1"/>
      <dgm:spPr/>
      <dgm:t>
        <a:bodyPr/>
        <a:lstStyle/>
        <a:p>
          <a:pPr algn="l">
            <a:buFont typeface="+mj-lt"/>
            <a:buAutoNum type="arabicPeriod"/>
          </a:pPr>
          <a:r>
            <a:rPr lang="en-US" sz="1250">
              <a:solidFill>
                <a:schemeClr val="tx1"/>
              </a:solidFill>
            </a:rPr>
            <a:t>To support the success of diverse learners, teachers need to be “students of their students.” Educators who “teach up” want to understand each student’s culture, interests, strengths, needs, approaches to learning, perspectives, and abilities. Formative and summative assessments can help teachers understand students’ progress in meeting the goals of the curriculum. This also supports teachers in developing curriculums and learning plans that are respectful, invitational, and effective for every student</a:t>
          </a:r>
          <a:r>
            <a:rPr lang="en-US" sz="1200">
              <a:solidFill>
                <a:schemeClr val="tx1"/>
              </a:solidFill>
            </a:rPr>
            <a:t>.</a:t>
          </a:r>
        </a:p>
      </dgm:t>
    </dgm:pt>
    <dgm:pt modelId="{66A0592D-ABB9-E446-9E62-8FB15A46CA2F}" type="parTrans" cxnId="{9C04F51A-264F-574A-B89E-6197CB2384A0}">
      <dgm:prSet/>
      <dgm:spPr/>
      <dgm:t>
        <a:bodyPr/>
        <a:lstStyle/>
        <a:p>
          <a:endParaRPr lang="en-US"/>
        </a:p>
      </dgm:t>
    </dgm:pt>
    <dgm:pt modelId="{EFC6C131-3302-B147-A2B5-67CB620FBF14}" type="sibTrans" cxnId="{9C04F51A-264F-574A-B89E-6197CB2384A0}">
      <dgm:prSet/>
      <dgm:spPr/>
      <dgm:t>
        <a:bodyPr/>
        <a:lstStyle/>
        <a:p>
          <a:endParaRPr lang="en-US"/>
        </a:p>
      </dgm:t>
    </dgm:pt>
    <dgm:pt modelId="{4F9B2340-1711-6D49-B0D7-0D5A4A9A5618}" type="pres">
      <dgm:prSet presAssocID="{F7A2ACE8-28C9-DF4B-A584-4ED146DC76D7}" presName="linearFlow" presStyleCnt="0">
        <dgm:presLayoutVars>
          <dgm:dir/>
          <dgm:resizeHandles val="exact"/>
        </dgm:presLayoutVars>
      </dgm:prSet>
      <dgm:spPr/>
    </dgm:pt>
    <dgm:pt modelId="{6A49AAC3-9FD6-3848-9B25-493B979F61C9}" type="pres">
      <dgm:prSet presAssocID="{4A6CD6B5-4499-1B4A-AD5E-F1D22F249FF5}" presName="composite" presStyleCnt="0"/>
      <dgm:spPr/>
    </dgm:pt>
    <dgm:pt modelId="{1C57A22E-6855-6841-A5B8-4226583ACAA4}" type="pres">
      <dgm:prSet presAssocID="{4A6CD6B5-4499-1B4A-AD5E-F1D22F249FF5}" presName="imgShp"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32000" r="-32000"/>
          </a:stretch>
        </a:blipFill>
      </dgm:spPr>
    </dgm:pt>
    <dgm:pt modelId="{D8ECF989-0929-AF48-9A44-8C6FE3C87C93}" type="pres">
      <dgm:prSet presAssocID="{4A6CD6B5-4499-1B4A-AD5E-F1D22F249FF5}" presName="txShp" presStyleLbl="node1" presStyleIdx="0" presStyleCnt="3">
        <dgm:presLayoutVars>
          <dgm:bulletEnabled val="1"/>
        </dgm:presLayoutVars>
      </dgm:prSet>
      <dgm:spPr/>
    </dgm:pt>
    <dgm:pt modelId="{C065B42D-6F0C-524E-A222-360FAF9C022B}" type="pres">
      <dgm:prSet presAssocID="{87B264F5-1577-A146-8CB2-CC62EA0AF01B}" presName="spacing" presStyleCnt="0"/>
      <dgm:spPr/>
    </dgm:pt>
    <dgm:pt modelId="{A27BD0B8-71C6-AD49-AA6E-CC19BDEBC547}" type="pres">
      <dgm:prSet presAssocID="{A97ADF21-7704-E64B-8D03-643D7AEC5476}" presName="composite" presStyleCnt="0"/>
      <dgm:spPr/>
    </dgm:pt>
    <dgm:pt modelId="{56469800-2192-5F42-ADB9-AE2CEB8D516F}" type="pres">
      <dgm:prSet presAssocID="{A97ADF21-7704-E64B-8D03-643D7AEC5476}" presName="imgShp" presStyleLbl="f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25000" r="-25000"/>
          </a:stretch>
        </a:blipFill>
      </dgm:spPr>
    </dgm:pt>
    <dgm:pt modelId="{4B776F21-400D-F949-81C4-E00258B67B4D}" type="pres">
      <dgm:prSet presAssocID="{A97ADF21-7704-E64B-8D03-643D7AEC5476}" presName="txShp" presStyleLbl="node1" presStyleIdx="1" presStyleCnt="3">
        <dgm:presLayoutVars>
          <dgm:bulletEnabled val="1"/>
        </dgm:presLayoutVars>
      </dgm:prSet>
      <dgm:spPr/>
    </dgm:pt>
    <dgm:pt modelId="{243A77C1-AE54-9A4F-B395-614F9C90462A}" type="pres">
      <dgm:prSet presAssocID="{0E307CAC-437E-5D4F-BE6B-59255524AC42}" presName="spacing" presStyleCnt="0"/>
      <dgm:spPr/>
    </dgm:pt>
    <dgm:pt modelId="{0A0B2872-8CD6-8145-96A6-4CEEA8BBE617}" type="pres">
      <dgm:prSet presAssocID="{555EE80D-A863-BB41-80B7-B3DB3FAC090F}" presName="composite" presStyleCnt="0"/>
      <dgm:spPr/>
    </dgm:pt>
    <dgm:pt modelId="{C04FAFA0-3848-7042-AD58-925F7B080AA1}" type="pres">
      <dgm:prSet presAssocID="{555EE80D-A863-BB41-80B7-B3DB3FAC090F}" presName="imgShp" presStyleLbl="f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34000" r="-34000"/>
          </a:stretch>
        </a:blipFill>
      </dgm:spPr>
    </dgm:pt>
    <dgm:pt modelId="{1C46001F-8086-1A40-B562-07FB410510AE}" type="pres">
      <dgm:prSet presAssocID="{555EE80D-A863-BB41-80B7-B3DB3FAC090F}" presName="txShp" presStyleLbl="node1" presStyleIdx="2" presStyleCnt="3" custScaleY="187184">
        <dgm:presLayoutVars>
          <dgm:bulletEnabled val="1"/>
        </dgm:presLayoutVars>
      </dgm:prSet>
      <dgm:spPr/>
    </dgm:pt>
  </dgm:ptLst>
  <dgm:cxnLst>
    <dgm:cxn modelId="{9C04F51A-264F-574A-B89E-6197CB2384A0}" srcId="{F7A2ACE8-28C9-DF4B-A584-4ED146DC76D7}" destId="{555EE80D-A863-BB41-80B7-B3DB3FAC090F}" srcOrd="2" destOrd="0" parTransId="{66A0592D-ABB9-E446-9E62-8FB15A46CA2F}" sibTransId="{EFC6C131-3302-B147-A2B5-67CB620FBF14}"/>
    <dgm:cxn modelId="{1AEDF522-A5B2-5A49-8B8D-06BD604AD252}" srcId="{F7A2ACE8-28C9-DF4B-A584-4ED146DC76D7}" destId="{A97ADF21-7704-E64B-8D03-643D7AEC5476}" srcOrd="1" destOrd="0" parTransId="{F0C8A33F-2978-9D43-84D5-B58AB401594B}" sibTransId="{0E307CAC-437E-5D4F-BE6B-59255524AC42}"/>
    <dgm:cxn modelId="{F545C823-70E7-CB44-8936-3360F2CFA79E}" type="presOf" srcId="{4A6CD6B5-4499-1B4A-AD5E-F1D22F249FF5}" destId="{D8ECF989-0929-AF48-9A44-8C6FE3C87C93}" srcOrd="0" destOrd="0" presId="urn:microsoft.com/office/officeart/2005/8/layout/vList3"/>
    <dgm:cxn modelId="{3BD89727-F100-8048-A1AC-E70ABA9AB91F}" type="presOf" srcId="{A97ADF21-7704-E64B-8D03-643D7AEC5476}" destId="{4B776F21-400D-F949-81C4-E00258B67B4D}" srcOrd="0" destOrd="0" presId="urn:microsoft.com/office/officeart/2005/8/layout/vList3"/>
    <dgm:cxn modelId="{43DA2791-36CE-3147-9818-66692768F9FA}" srcId="{F7A2ACE8-28C9-DF4B-A584-4ED146DC76D7}" destId="{4A6CD6B5-4499-1B4A-AD5E-F1D22F249FF5}" srcOrd="0" destOrd="0" parTransId="{E41EFFB6-332B-054D-BA5C-9F078BF4B487}" sibTransId="{87B264F5-1577-A146-8CB2-CC62EA0AF01B}"/>
    <dgm:cxn modelId="{3C0D9BCB-8A9E-6442-8571-935A710ED8A3}" type="presOf" srcId="{555EE80D-A863-BB41-80B7-B3DB3FAC090F}" destId="{1C46001F-8086-1A40-B562-07FB410510AE}" srcOrd="0" destOrd="0" presId="urn:microsoft.com/office/officeart/2005/8/layout/vList3"/>
    <dgm:cxn modelId="{9BA602E3-84AE-BB4F-AD28-4A35DCA66F1B}" type="presOf" srcId="{F7A2ACE8-28C9-DF4B-A584-4ED146DC76D7}" destId="{4F9B2340-1711-6D49-B0D7-0D5A4A9A5618}" srcOrd="0" destOrd="0" presId="urn:microsoft.com/office/officeart/2005/8/layout/vList3"/>
    <dgm:cxn modelId="{5A6239D2-95FE-114F-8149-2D1593E6D006}" type="presParOf" srcId="{4F9B2340-1711-6D49-B0D7-0D5A4A9A5618}" destId="{6A49AAC3-9FD6-3848-9B25-493B979F61C9}" srcOrd="0" destOrd="0" presId="urn:microsoft.com/office/officeart/2005/8/layout/vList3"/>
    <dgm:cxn modelId="{7F517E0B-354E-C54F-936D-A74539F99F58}" type="presParOf" srcId="{6A49AAC3-9FD6-3848-9B25-493B979F61C9}" destId="{1C57A22E-6855-6841-A5B8-4226583ACAA4}" srcOrd="0" destOrd="0" presId="urn:microsoft.com/office/officeart/2005/8/layout/vList3"/>
    <dgm:cxn modelId="{A875DEAE-B0A4-7E4A-9257-9B48D76E3E5D}" type="presParOf" srcId="{6A49AAC3-9FD6-3848-9B25-493B979F61C9}" destId="{D8ECF989-0929-AF48-9A44-8C6FE3C87C93}" srcOrd="1" destOrd="0" presId="urn:microsoft.com/office/officeart/2005/8/layout/vList3"/>
    <dgm:cxn modelId="{6BD196D8-4CD9-7249-9D30-9F574316B655}" type="presParOf" srcId="{4F9B2340-1711-6D49-B0D7-0D5A4A9A5618}" destId="{C065B42D-6F0C-524E-A222-360FAF9C022B}" srcOrd="1" destOrd="0" presId="urn:microsoft.com/office/officeart/2005/8/layout/vList3"/>
    <dgm:cxn modelId="{3460D2AD-76D5-EB44-A942-FA5CC5BF4249}" type="presParOf" srcId="{4F9B2340-1711-6D49-B0D7-0D5A4A9A5618}" destId="{A27BD0B8-71C6-AD49-AA6E-CC19BDEBC547}" srcOrd="2" destOrd="0" presId="urn:microsoft.com/office/officeart/2005/8/layout/vList3"/>
    <dgm:cxn modelId="{5A3F920F-13B2-A64A-8F49-35C53DDD9DEC}" type="presParOf" srcId="{A27BD0B8-71C6-AD49-AA6E-CC19BDEBC547}" destId="{56469800-2192-5F42-ADB9-AE2CEB8D516F}" srcOrd="0" destOrd="0" presId="urn:microsoft.com/office/officeart/2005/8/layout/vList3"/>
    <dgm:cxn modelId="{845A9048-B7ED-3542-90AD-F6CAEC9985E3}" type="presParOf" srcId="{A27BD0B8-71C6-AD49-AA6E-CC19BDEBC547}" destId="{4B776F21-400D-F949-81C4-E00258B67B4D}" srcOrd="1" destOrd="0" presId="urn:microsoft.com/office/officeart/2005/8/layout/vList3"/>
    <dgm:cxn modelId="{932EE4E6-57F8-7843-8AE8-A1A6B2F03175}" type="presParOf" srcId="{4F9B2340-1711-6D49-B0D7-0D5A4A9A5618}" destId="{243A77C1-AE54-9A4F-B395-614F9C90462A}" srcOrd="3" destOrd="0" presId="urn:microsoft.com/office/officeart/2005/8/layout/vList3"/>
    <dgm:cxn modelId="{A6216C52-32F7-3B4D-8CC9-F229BB275881}" type="presParOf" srcId="{4F9B2340-1711-6D49-B0D7-0D5A4A9A5618}" destId="{0A0B2872-8CD6-8145-96A6-4CEEA8BBE617}" srcOrd="4" destOrd="0" presId="urn:microsoft.com/office/officeart/2005/8/layout/vList3"/>
    <dgm:cxn modelId="{74586C12-C161-A94C-8487-D0FC2D39FA2B}" type="presParOf" srcId="{0A0B2872-8CD6-8145-96A6-4CEEA8BBE617}" destId="{C04FAFA0-3848-7042-AD58-925F7B080AA1}" srcOrd="0" destOrd="0" presId="urn:microsoft.com/office/officeart/2005/8/layout/vList3"/>
    <dgm:cxn modelId="{3565E580-CF21-FD4D-86F9-0A6A3C2F4067}" type="presParOf" srcId="{0A0B2872-8CD6-8145-96A6-4CEEA8BBE617}" destId="{1C46001F-8086-1A40-B562-07FB410510AE}" srcOrd="1" destOrd="0" presId="urn:microsoft.com/office/officeart/2005/8/layout/vList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A2ACE8-28C9-DF4B-A584-4ED146DC76D7}" type="doc">
      <dgm:prSet loTypeId="urn:microsoft.com/office/officeart/2005/8/layout/vList3" loCatId="" qsTypeId="urn:microsoft.com/office/officeart/2005/8/quickstyle/simple1" qsCatId="simple" csTypeId="urn:microsoft.com/office/officeart/2005/8/colors/colorful1" csCatId="colorful" phldr="1"/>
      <dgm:spPr/>
    </dgm:pt>
    <dgm:pt modelId="{4A6CD6B5-4499-1B4A-AD5E-F1D22F249FF5}">
      <dgm:prSet phldrT="[Text]" custT="1"/>
      <dgm:spPr>
        <a:solidFill>
          <a:srgbClr val="78ABDF"/>
        </a:solidFill>
      </dgm:spPr>
      <dgm:t>
        <a:bodyPr/>
        <a:lstStyle/>
        <a:p>
          <a:pPr algn="l">
            <a:buFont typeface="+mj-lt"/>
            <a:buAutoNum type="arabicPeriod"/>
          </a:pPr>
          <a:r>
            <a:rPr lang="en-US" sz="1250">
              <a:solidFill>
                <a:schemeClr val="tx1"/>
              </a:solidFill>
            </a:rPr>
            <a:t>Students enter the classroom and curriculum at different points, and they also learn at different rates. Teachers should offer opportunities for whole classwork as well as individual and small group work that are based on personalized goals. This can support each individual’s academic growth. Teachers should understand that some students may feel isolated in school, so it is important to offer opportunities for them to show their peers how they make positive contributions to the work of the class or small group. </a:t>
          </a:r>
        </a:p>
      </dgm:t>
    </dgm:pt>
    <dgm:pt modelId="{E41EFFB6-332B-054D-BA5C-9F078BF4B487}" type="parTrans" cxnId="{43DA2791-36CE-3147-9818-66692768F9FA}">
      <dgm:prSet/>
      <dgm:spPr/>
      <dgm:t>
        <a:bodyPr/>
        <a:lstStyle/>
        <a:p>
          <a:endParaRPr lang="en-US"/>
        </a:p>
      </dgm:t>
    </dgm:pt>
    <dgm:pt modelId="{87B264F5-1577-A146-8CB2-CC62EA0AF01B}" type="sibTrans" cxnId="{43DA2791-36CE-3147-9818-66692768F9FA}">
      <dgm:prSet/>
      <dgm:spPr/>
      <dgm:t>
        <a:bodyPr/>
        <a:lstStyle/>
        <a:p>
          <a:endParaRPr lang="en-US"/>
        </a:p>
      </dgm:t>
    </dgm:pt>
    <dgm:pt modelId="{A97ADF21-7704-E64B-8D03-643D7AEC5476}">
      <dgm:prSet phldrT="[Text]" custT="1"/>
      <dgm:spPr>
        <a:solidFill>
          <a:srgbClr val="87BE65"/>
        </a:solidFill>
      </dgm:spPr>
      <dgm:t>
        <a:bodyPr/>
        <a:lstStyle/>
        <a:p>
          <a:pPr algn="l">
            <a:buFont typeface="+mj-lt"/>
            <a:buAutoNum type="arabicPeriod"/>
          </a:pPr>
          <a:r>
            <a:rPr lang="en-US" sz="1250">
              <a:solidFill>
                <a:schemeClr val="tx1"/>
              </a:solidFill>
            </a:rPr>
            <a:t>“Teaching up” requires curriculum and instruction that is rigorous and relevant.  Curriculum and instruction should be clear regarding what is most important for students to know and be able to do as the result of the learning concepts from the discipline, as well as the work that focuses students on understanding, applying, and transferring what they learn, and the tasks that engage student attention, curiosity, and thought. Classrooms that have both structure and flexibility allow for student differences and also help teachers understand students’ varied approaches and abilities. Including students as partners helps them develop a sense of agency and responsibility (Tomlinson and Imbeau 2010; Weinstein et al. 2004).</a:t>
          </a:r>
        </a:p>
      </dgm:t>
    </dgm:pt>
    <dgm:pt modelId="{F0C8A33F-2978-9D43-84D5-B58AB401594B}" type="parTrans" cxnId="{1AEDF522-A5B2-5A49-8B8D-06BD604AD252}">
      <dgm:prSet/>
      <dgm:spPr/>
      <dgm:t>
        <a:bodyPr/>
        <a:lstStyle/>
        <a:p>
          <a:endParaRPr lang="en-US"/>
        </a:p>
      </dgm:t>
    </dgm:pt>
    <dgm:pt modelId="{0E307CAC-437E-5D4F-BE6B-59255524AC42}" type="sibTrans" cxnId="{1AEDF522-A5B2-5A49-8B8D-06BD604AD252}">
      <dgm:prSet/>
      <dgm:spPr/>
      <dgm:t>
        <a:bodyPr/>
        <a:lstStyle/>
        <a:p>
          <a:endParaRPr lang="en-US"/>
        </a:p>
      </dgm:t>
    </dgm:pt>
    <dgm:pt modelId="{A3B00323-ECC3-6248-827B-F19162F56CF2}">
      <dgm:prSet custT="1"/>
      <dgm:spPr>
        <a:solidFill>
          <a:srgbClr val="F7823A"/>
        </a:solidFill>
      </dgm:spPr>
      <dgm:t>
        <a:bodyPr/>
        <a:lstStyle/>
        <a:p>
          <a:pPr algn="l">
            <a:buFont typeface="+mj-lt"/>
            <a:buAutoNum type="arabicPeriod"/>
          </a:pPr>
          <a:r>
            <a:rPr lang="en-US" sz="1250">
              <a:solidFill>
                <a:schemeClr val="tx1"/>
              </a:solidFill>
            </a:rPr>
            <a:t>Reflective practice helps teachers plan instruction by considering both student needs and curriculum requirements. Teachers who” teach up” know where students’ are in relation to the goals. They need to be careful observers in the classroom and ask themselves what’s working, what’s not working, and why.  </a:t>
          </a:r>
        </a:p>
      </dgm:t>
    </dgm:pt>
    <dgm:pt modelId="{DC3089FD-8884-4045-81E8-D1817BF5FA27}" type="parTrans" cxnId="{EB6D73A5-43A0-8F4D-8EA7-19BAE46E2F4C}">
      <dgm:prSet/>
      <dgm:spPr/>
      <dgm:t>
        <a:bodyPr/>
        <a:lstStyle/>
        <a:p>
          <a:endParaRPr lang="en-US"/>
        </a:p>
      </dgm:t>
    </dgm:pt>
    <dgm:pt modelId="{AE50589F-887D-FB44-A61F-25640648C945}" type="sibTrans" cxnId="{EB6D73A5-43A0-8F4D-8EA7-19BAE46E2F4C}">
      <dgm:prSet/>
      <dgm:spPr/>
      <dgm:t>
        <a:bodyPr/>
        <a:lstStyle/>
        <a:p>
          <a:endParaRPr lang="en-US"/>
        </a:p>
      </dgm:t>
    </dgm:pt>
    <dgm:pt modelId="{4F9B2340-1711-6D49-B0D7-0D5A4A9A5618}" type="pres">
      <dgm:prSet presAssocID="{F7A2ACE8-28C9-DF4B-A584-4ED146DC76D7}" presName="linearFlow" presStyleCnt="0">
        <dgm:presLayoutVars>
          <dgm:dir/>
          <dgm:resizeHandles val="exact"/>
        </dgm:presLayoutVars>
      </dgm:prSet>
      <dgm:spPr/>
    </dgm:pt>
    <dgm:pt modelId="{6A49AAC3-9FD6-3848-9B25-493B979F61C9}" type="pres">
      <dgm:prSet presAssocID="{4A6CD6B5-4499-1B4A-AD5E-F1D22F249FF5}" presName="composite" presStyleCnt="0"/>
      <dgm:spPr/>
    </dgm:pt>
    <dgm:pt modelId="{1C57A22E-6855-6841-A5B8-4226583ACAA4}" type="pres">
      <dgm:prSet presAssocID="{4A6CD6B5-4499-1B4A-AD5E-F1D22F249FF5}" presName="imgShp" presStyleLbl="fgImgPlace1" presStyleIdx="0" presStyleCnt="3" custScaleX="86453" custScaleY="8645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6000" r="-26000"/>
          </a:stretch>
        </a:blipFill>
      </dgm:spPr>
    </dgm:pt>
    <dgm:pt modelId="{D8ECF989-0929-AF48-9A44-8C6FE3C87C93}" type="pres">
      <dgm:prSet presAssocID="{4A6CD6B5-4499-1B4A-AD5E-F1D22F249FF5}" presName="txShp" presStyleLbl="node1" presStyleIdx="0" presStyleCnt="3" custScaleY="143583">
        <dgm:presLayoutVars>
          <dgm:bulletEnabled val="1"/>
        </dgm:presLayoutVars>
      </dgm:prSet>
      <dgm:spPr/>
    </dgm:pt>
    <dgm:pt modelId="{C065B42D-6F0C-524E-A222-360FAF9C022B}" type="pres">
      <dgm:prSet presAssocID="{87B264F5-1577-A146-8CB2-CC62EA0AF01B}" presName="spacing" presStyleCnt="0"/>
      <dgm:spPr/>
    </dgm:pt>
    <dgm:pt modelId="{A27BD0B8-71C6-AD49-AA6E-CC19BDEBC547}" type="pres">
      <dgm:prSet presAssocID="{A97ADF21-7704-E64B-8D03-643D7AEC5476}" presName="composite" presStyleCnt="0"/>
      <dgm:spPr/>
    </dgm:pt>
    <dgm:pt modelId="{56469800-2192-5F42-ADB9-AE2CEB8D516F}" type="pres">
      <dgm:prSet presAssocID="{A97ADF21-7704-E64B-8D03-643D7AEC5476}" presName="imgShp" presStyleLbl="fgImgPlace1" presStyleIdx="1" presStyleCnt="3" custScaleX="86453" custScaleY="8645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25000" r="-25000"/>
          </a:stretch>
        </a:blipFill>
      </dgm:spPr>
    </dgm:pt>
    <dgm:pt modelId="{4B776F21-400D-F949-81C4-E00258B67B4D}" type="pres">
      <dgm:prSet presAssocID="{A97ADF21-7704-E64B-8D03-643D7AEC5476}" presName="txShp" presStyleLbl="node1" presStyleIdx="1" presStyleCnt="3" custScaleY="213534">
        <dgm:presLayoutVars>
          <dgm:bulletEnabled val="1"/>
        </dgm:presLayoutVars>
      </dgm:prSet>
      <dgm:spPr/>
    </dgm:pt>
    <dgm:pt modelId="{243A77C1-AE54-9A4F-B395-614F9C90462A}" type="pres">
      <dgm:prSet presAssocID="{0E307CAC-437E-5D4F-BE6B-59255524AC42}" presName="spacing" presStyleCnt="0"/>
      <dgm:spPr/>
    </dgm:pt>
    <dgm:pt modelId="{8CE244FB-E115-D746-AF33-2179032120DA}" type="pres">
      <dgm:prSet presAssocID="{A3B00323-ECC3-6248-827B-F19162F56CF2}" presName="composite" presStyleCnt="0"/>
      <dgm:spPr/>
    </dgm:pt>
    <dgm:pt modelId="{03AAD59C-0399-C949-9B0F-5D5B9626BE13}" type="pres">
      <dgm:prSet presAssocID="{A3B00323-ECC3-6248-827B-F19162F56CF2}" presName="imgShp" presStyleLbl="fgImgPlace1" presStyleIdx="2" presStyleCnt="3" custScaleX="86453" custScaleY="8645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6000" r="-26000"/>
          </a:stretch>
        </a:blipFill>
      </dgm:spPr>
    </dgm:pt>
    <dgm:pt modelId="{D97F0279-1BD7-5C4F-8257-DCBE5F589CF4}" type="pres">
      <dgm:prSet presAssocID="{A3B00323-ECC3-6248-827B-F19162F56CF2}" presName="txShp" presStyleLbl="node1" presStyleIdx="2" presStyleCnt="3">
        <dgm:presLayoutVars>
          <dgm:bulletEnabled val="1"/>
        </dgm:presLayoutVars>
      </dgm:prSet>
      <dgm:spPr/>
    </dgm:pt>
  </dgm:ptLst>
  <dgm:cxnLst>
    <dgm:cxn modelId="{1AEDF522-A5B2-5A49-8B8D-06BD604AD252}" srcId="{F7A2ACE8-28C9-DF4B-A584-4ED146DC76D7}" destId="{A97ADF21-7704-E64B-8D03-643D7AEC5476}" srcOrd="1" destOrd="0" parTransId="{F0C8A33F-2978-9D43-84D5-B58AB401594B}" sibTransId="{0E307CAC-437E-5D4F-BE6B-59255524AC42}"/>
    <dgm:cxn modelId="{F545C823-70E7-CB44-8936-3360F2CFA79E}" type="presOf" srcId="{4A6CD6B5-4499-1B4A-AD5E-F1D22F249FF5}" destId="{D8ECF989-0929-AF48-9A44-8C6FE3C87C93}" srcOrd="0" destOrd="0" presId="urn:microsoft.com/office/officeart/2005/8/layout/vList3"/>
    <dgm:cxn modelId="{3BD89727-F100-8048-A1AC-E70ABA9AB91F}" type="presOf" srcId="{A97ADF21-7704-E64B-8D03-643D7AEC5476}" destId="{4B776F21-400D-F949-81C4-E00258B67B4D}" srcOrd="0" destOrd="0" presId="urn:microsoft.com/office/officeart/2005/8/layout/vList3"/>
    <dgm:cxn modelId="{2325D055-E477-6B4A-B867-86987B0B942B}" type="presOf" srcId="{A3B00323-ECC3-6248-827B-F19162F56CF2}" destId="{D97F0279-1BD7-5C4F-8257-DCBE5F589CF4}" srcOrd="0" destOrd="0" presId="urn:microsoft.com/office/officeart/2005/8/layout/vList3"/>
    <dgm:cxn modelId="{43DA2791-36CE-3147-9818-66692768F9FA}" srcId="{F7A2ACE8-28C9-DF4B-A584-4ED146DC76D7}" destId="{4A6CD6B5-4499-1B4A-AD5E-F1D22F249FF5}" srcOrd="0" destOrd="0" parTransId="{E41EFFB6-332B-054D-BA5C-9F078BF4B487}" sibTransId="{87B264F5-1577-A146-8CB2-CC62EA0AF01B}"/>
    <dgm:cxn modelId="{EB6D73A5-43A0-8F4D-8EA7-19BAE46E2F4C}" srcId="{F7A2ACE8-28C9-DF4B-A584-4ED146DC76D7}" destId="{A3B00323-ECC3-6248-827B-F19162F56CF2}" srcOrd="2" destOrd="0" parTransId="{DC3089FD-8884-4045-81E8-D1817BF5FA27}" sibTransId="{AE50589F-887D-FB44-A61F-25640648C945}"/>
    <dgm:cxn modelId="{9BA602E3-84AE-BB4F-AD28-4A35DCA66F1B}" type="presOf" srcId="{F7A2ACE8-28C9-DF4B-A584-4ED146DC76D7}" destId="{4F9B2340-1711-6D49-B0D7-0D5A4A9A5618}" srcOrd="0" destOrd="0" presId="urn:microsoft.com/office/officeart/2005/8/layout/vList3"/>
    <dgm:cxn modelId="{5A6239D2-95FE-114F-8149-2D1593E6D006}" type="presParOf" srcId="{4F9B2340-1711-6D49-B0D7-0D5A4A9A5618}" destId="{6A49AAC3-9FD6-3848-9B25-493B979F61C9}" srcOrd="0" destOrd="0" presId="urn:microsoft.com/office/officeart/2005/8/layout/vList3"/>
    <dgm:cxn modelId="{7F517E0B-354E-C54F-936D-A74539F99F58}" type="presParOf" srcId="{6A49AAC3-9FD6-3848-9B25-493B979F61C9}" destId="{1C57A22E-6855-6841-A5B8-4226583ACAA4}" srcOrd="0" destOrd="0" presId="urn:microsoft.com/office/officeart/2005/8/layout/vList3"/>
    <dgm:cxn modelId="{A875DEAE-B0A4-7E4A-9257-9B48D76E3E5D}" type="presParOf" srcId="{6A49AAC3-9FD6-3848-9B25-493B979F61C9}" destId="{D8ECF989-0929-AF48-9A44-8C6FE3C87C93}" srcOrd="1" destOrd="0" presId="urn:microsoft.com/office/officeart/2005/8/layout/vList3"/>
    <dgm:cxn modelId="{6BD196D8-4CD9-7249-9D30-9F574316B655}" type="presParOf" srcId="{4F9B2340-1711-6D49-B0D7-0D5A4A9A5618}" destId="{C065B42D-6F0C-524E-A222-360FAF9C022B}" srcOrd="1" destOrd="0" presId="urn:microsoft.com/office/officeart/2005/8/layout/vList3"/>
    <dgm:cxn modelId="{3460D2AD-76D5-EB44-A942-FA5CC5BF4249}" type="presParOf" srcId="{4F9B2340-1711-6D49-B0D7-0D5A4A9A5618}" destId="{A27BD0B8-71C6-AD49-AA6E-CC19BDEBC547}" srcOrd="2" destOrd="0" presId="urn:microsoft.com/office/officeart/2005/8/layout/vList3"/>
    <dgm:cxn modelId="{5A3F920F-13B2-A64A-8F49-35C53DDD9DEC}" type="presParOf" srcId="{A27BD0B8-71C6-AD49-AA6E-CC19BDEBC547}" destId="{56469800-2192-5F42-ADB9-AE2CEB8D516F}" srcOrd="0" destOrd="0" presId="urn:microsoft.com/office/officeart/2005/8/layout/vList3"/>
    <dgm:cxn modelId="{845A9048-B7ED-3542-90AD-F6CAEC9985E3}" type="presParOf" srcId="{A27BD0B8-71C6-AD49-AA6E-CC19BDEBC547}" destId="{4B776F21-400D-F949-81C4-E00258B67B4D}" srcOrd="1" destOrd="0" presId="urn:microsoft.com/office/officeart/2005/8/layout/vList3"/>
    <dgm:cxn modelId="{932EE4E6-57F8-7843-8AE8-A1A6B2F03175}" type="presParOf" srcId="{4F9B2340-1711-6D49-B0D7-0D5A4A9A5618}" destId="{243A77C1-AE54-9A4F-B395-614F9C90462A}" srcOrd="3" destOrd="0" presId="urn:microsoft.com/office/officeart/2005/8/layout/vList3"/>
    <dgm:cxn modelId="{3AD252F5-A189-064D-8482-F6F53A97CED6}" type="presParOf" srcId="{4F9B2340-1711-6D49-B0D7-0D5A4A9A5618}" destId="{8CE244FB-E115-D746-AF33-2179032120DA}" srcOrd="4" destOrd="0" presId="urn:microsoft.com/office/officeart/2005/8/layout/vList3"/>
    <dgm:cxn modelId="{6AEDF349-50F5-B24B-821D-6E48B8462858}" type="presParOf" srcId="{8CE244FB-E115-D746-AF33-2179032120DA}" destId="{03AAD59C-0399-C949-9B0F-5D5B9626BE13}" srcOrd="0" destOrd="0" presId="urn:microsoft.com/office/officeart/2005/8/layout/vList3"/>
    <dgm:cxn modelId="{30E47E89-8805-1646-9BFA-4526D129291A}" type="presParOf" srcId="{8CE244FB-E115-D746-AF33-2179032120DA}" destId="{D97F0279-1BD7-5C4F-8257-DCBE5F589CF4}"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ECF989-0929-AF48-9A44-8C6FE3C87C93}">
      <dsp:nvSpPr>
        <dsp:cNvPr id="0" name=""/>
        <dsp:cNvSpPr/>
      </dsp:nvSpPr>
      <dsp:spPr>
        <a:xfrm rot="10800000">
          <a:off x="1664036" y="278"/>
          <a:ext cx="5794457" cy="818121"/>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769" tIns="49530" rIns="92456" bIns="49530" numCol="1" spcCol="1270" anchor="ctr" anchorCtr="0">
          <a:noAutofit/>
        </a:bodyPr>
        <a:lstStyle/>
        <a:p>
          <a:pPr marL="0" lvl="0" indent="0" algn="l" defTabSz="555625">
            <a:lnSpc>
              <a:spcPct val="90000"/>
            </a:lnSpc>
            <a:spcBef>
              <a:spcPct val="0"/>
            </a:spcBef>
            <a:spcAft>
              <a:spcPct val="35000"/>
            </a:spcAft>
            <a:buFont typeface="+mj-lt"/>
            <a:buNone/>
          </a:pPr>
          <a:r>
            <a:rPr lang="en-US" sz="1250" kern="1200">
              <a:solidFill>
                <a:schemeClr val="tx1"/>
              </a:solidFill>
            </a:rPr>
            <a:t>Human differences are normal and desirable. Learning is enriched by different perspectives and learners gain meaningful associations with learners of different ethnicities, languages, experiences, economic backgrounds, and abilities.</a:t>
          </a:r>
        </a:p>
      </dsp:txBody>
      <dsp:txXfrm rot="10800000">
        <a:off x="1868566" y="278"/>
        <a:ext cx="5589927" cy="818121"/>
      </dsp:txXfrm>
    </dsp:sp>
    <dsp:sp modelId="{1C57A22E-6855-6841-A5B8-4226583ACAA4}">
      <dsp:nvSpPr>
        <dsp:cNvPr id="0" name=""/>
        <dsp:cNvSpPr/>
      </dsp:nvSpPr>
      <dsp:spPr>
        <a:xfrm>
          <a:off x="1254975" y="278"/>
          <a:ext cx="818121" cy="81812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2000" r="-3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776F21-400D-F949-81C4-E00258B67B4D}">
      <dsp:nvSpPr>
        <dsp:cNvPr id="0" name=""/>
        <dsp:cNvSpPr/>
      </dsp:nvSpPr>
      <dsp:spPr>
        <a:xfrm rot="10800000">
          <a:off x="1664036" y="1062615"/>
          <a:ext cx="5794457" cy="818121"/>
        </a:xfrm>
        <a:prstGeom prst="homePlat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769" tIns="49530" rIns="92456" bIns="49530" numCol="1" spcCol="1270" anchor="ctr" anchorCtr="0">
          <a:noAutofit/>
        </a:bodyPr>
        <a:lstStyle/>
        <a:p>
          <a:pPr marL="0" lvl="0" indent="0" algn="l" defTabSz="555625">
            <a:lnSpc>
              <a:spcPct val="90000"/>
            </a:lnSpc>
            <a:spcBef>
              <a:spcPct val="0"/>
            </a:spcBef>
            <a:spcAft>
              <a:spcPct val="35000"/>
            </a:spcAft>
            <a:buFont typeface="+mj-lt"/>
            <a:buNone/>
          </a:pPr>
          <a:r>
            <a:rPr lang="en-US" sz="1250" kern="1200">
              <a:solidFill>
                <a:schemeClr val="tx1"/>
              </a:solidFill>
            </a:rPr>
            <a:t>A “Growth Mindset” described by Carol Dweck (2015) helps teachers to access excellent learning opportunities for all students because learning is possible for all students, not just those who come from higher socioeconomic status homes. Student effort is the key to academic growth and success. </a:t>
          </a:r>
        </a:p>
      </dsp:txBody>
      <dsp:txXfrm rot="10800000">
        <a:off x="1868566" y="1062615"/>
        <a:ext cx="5589927" cy="818121"/>
      </dsp:txXfrm>
    </dsp:sp>
    <dsp:sp modelId="{56469800-2192-5F42-ADB9-AE2CEB8D516F}">
      <dsp:nvSpPr>
        <dsp:cNvPr id="0" name=""/>
        <dsp:cNvSpPr/>
      </dsp:nvSpPr>
      <dsp:spPr>
        <a:xfrm>
          <a:off x="1254975" y="1062615"/>
          <a:ext cx="818121" cy="818121"/>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C46001F-8086-1A40-B562-07FB410510AE}">
      <dsp:nvSpPr>
        <dsp:cNvPr id="0" name=""/>
        <dsp:cNvSpPr/>
      </dsp:nvSpPr>
      <dsp:spPr>
        <a:xfrm rot="10800000">
          <a:off x="1664036" y="2124952"/>
          <a:ext cx="5794457" cy="1531392"/>
        </a:xfrm>
        <a:prstGeom prst="homePlat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769" tIns="49530" rIns="92456" bIns="49530" numCol="1" spcCol="1270" anchor="ctr" anchorCtr="0">
          <a:noAutofit/>
        </a:bodyPr>
        <a:lstStyle/>
        <a:p>
          <a:pPr marL="0" lvl="0" indent="0" algn="l" defTabSz="555625">
            <a:lnSpc>
              <a:spcPct val="90000"/>
            </a:lnSpc>
            <a:spcBef>
              <a:spcPct val="0"/>
            </a:spcBef>
            <a:spcAft>
              <a:spcPct val="35000"/>
            </a:spcAft>
            <a:buFont typeface="+mj-lt"/>
            <a:buNone/>
          </a:pPr>
          <a:r>
            <a:rPr lang="en-US" sz="1250" kern="1200">
              <a:solidFill>
                <a:schemeClr val="tx1"/>
              </a:solidFill>
            </a:rPr>
            <a:t>To support the success of diverse learners, teachers need to be “students of their students.” Educators who “teach up” want to understand each student’s culture, interests, strengths, needs, approaches to learning, perspectives, and abilities. Formative and summative assessments can help teachers understand students’ progress in meeting the goals of the curriculum. This also supports teachers in developing curriculums and learning plans that are respectful, invitational, and effective for every student</a:t>
          </a:r>
          <a:r>
            <a:rPr lang="en-US" sz="1200" kern="1200">
              <a:solidFill>
                <a:schemeClr val="tx1"/>
              </a:solidFill>
            </a:rPr>
            <a:t>.</a:t>
          </a:r>
        </a:p>
      </dsp:txBody>
      <dsp:txXfrm rot="10800000">
        <a:off x="2046884" y="2124952"/>
        <a:ext cx="5411609" cy="1531392"/>
      </dsp:txXfrm>
    </dsp:sp>
    <dsp:sp modelId="{C04FAFA0-3848-7042-AD58-925F7B080AA1}">
      <dsp:nvSpPr>
        <dsp:cNvPr id="0" name=""/>
        <dsp:cNvSpPr/>
      </dsp:nvSpPr>
      <dsp:spPr>
        <a:xfrm>
          <a:off x="1254975" y="2481587"/>
          <a:ext cx="818121" cy="818121"/>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34000" r="-3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ECF989-0929-AF48-9A44-8C6FE3C87C93}">
      <dsp:nvSpPr>
        <dsp:cNvPr id="0" name=""/>
        <dsp:cNvSpPr/>
      </dsp:nvSpPr>
      <dsp:spPr>
        <a:xfrm rot="10800000">
          <a:off x="1658438" y="2693"/>
          <a:ext cx="5767431" cy="1366788"/>
        </a:xfrm>
        <a:prstGeom prst="homePlate">
          <a:avLst/>
        </a:prstGeom>
        <a:solidFill>
          <a:srgbClr val="78ABD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768" tIns="49530" rIns="92456" bIns="49530" numCol="1" spcCol="1270" anchor="ctr" anchorCtr="0">
          <a:noAutofit/>
        </a:bodyPr>
        <a:lstStyle/>
        <a:p>
          <a:pPr marL="0" lvl="0" indent="0" algn="l" defTabSz="555625">
            <a:lnSpc>
              <a:spcPct val="90000"/>
            </a:lnSpc>
            <a:spcBef>
              <a:spcPct val="0"/>
            </a:spcBef>
            <a:spcAft>
              <a:spcPct val="35000"/>
            </a:spcAft>
            <a:buFont typeface="+mj-lt"/>
            <a:buNone/>
          </a:pPr>
          <a:r>
            <a:rPr lang="en-US" sz="1250" kern="1200">
              <a:solidFill>
                <a:schemeClr val="tx1"/>
              </a:solidFill>
            </a:rPr>
            <a:t>Students enter the classroom and curriculum at different points, and they also learn at different rates. Teachers should offer opportunities for whole classwork as well as individual and small group work that are based on personalized goals. This can support each individual’s academic growth. Teachers should understand that some students may feel isolated in school, so it is important to offer opportunities for them to show their peers how they make positive contributions to the work of the class or small group. </a:t>
          </a:r>
        </a:p>
      </dsp:txBody>
      <dsp:txXfrm rot="10800000">
        <a:off x="2000135" y="2693"/>
        <a:ext cx="5425734" cy="1366788"/>
      </dsp:txXfrm>
    </dsp:sp>
    <dsp:sp modelId="{1C57A22E-6855-6841-A5B8-4226583ACAA4}">
      <dsp:nvSpPr>
        <dsp:cNvPr id="0" name=""/>
        <dsp:cNvSpPr/>
      </dsp:nvSpPr>
      <dsp:spPr>
        <a:xfrm>
          <a:off x="1246959" y="274607"/>
          <a:ext cx="822959" cy="822959"/>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6000" r="-2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776F21-400D-F949-81C4-E00258B67B4D}">
      <dsp:nvSpPr>
        <dsp:cNvPr id="0" name=""/>
        <dsp:cNvSpPr/>
      </dsp:nvSpPr>
      <dsp:spPr>
        <a:xfrm rot="10800000">
          <a:off x="1658438" y="1653635"/>
          <a:ext cx="5767431" cy="2032662"/>
        </a:xfrm>
        <a:prstGeom prst="homePlate">
          <a:avLst/>
        </a:prstGeom>
        <a:solidFill>
          <a:srgbClr val="87BE6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768" tIns="49530" rIns="92456" bIns="49530" numCol="1" spcCol="1270" anchor="ctr" anchorCtr="0">
          <a:noAutofit/>
        </a:bodyPr>
        <a:lstStyle/>
        <a:p>
          <a:pPr marL="0" lvl="0" indent="0" algn="l" defTabSz="555625">
            <a:lnSpc>
              <a:spcPct val="90000"/>
            </a:lnSpc>
            <a:spcBef>
              <a:spcPct val="0"/>
            </a:spcBef>
            <a:spcAft>
              <a:spcPct val="35000"/>
            </a:spcAft>
            <a:buFont typeface="+mj-lt"/>
            <a:buNone/>
          </a:pPr>
          <a:r>
            <a:rPr lang="en-US" sz="1250" kern="1200">
              <a:solidFill>
                <a:schemeClr val="tx1"/>
              </a:solidFill>
            </a:rPr>
            <a:t>“Teaching up” requires curriculum and instruction that is rigorous and relevant.  Curriculum and instruction should be clear regarding what is most important for students to know and be able to do as the result of the learning concepts from the discipline, as well as the work that focuses students on understanding, applying, and transferring what they learn, and the tasks that engage student attention, curiosity, and thought. Classrooms that have both structure and flexibility allow for student differences and also help teachers understand students’ varied approaches and abilities. Including students as partners helps them develop a sense of agency and responsibility (Tomlinson and Imbeau 2010; Weinstein et al. 2004).</a:t>
          </a:r>
        </a:p>
      </dsp:txBody>
      <dsp:txXfrm rot="10800000">
        <a:off x="2166603" y="1653635"/>
        <a:ext cx="5259266" cy="2032662"/>
      </dsp:txXfrm>
    </dsp:sp>
    <dsp:sp modelId="{56469800-2192-5F42-ADB9-AE2CEB8D516F}">
      <dsp:nvSpPr>
        <dsp:cNvPr id="0" name=""/>
        <dsp:cNvSpPr/>
      </dsp:nvSpPr>
      <dsp:spPr>
        <a:xfrm>
          <a:off x="1246959" y="2258487"/>
          <a:ext cx="822959" cy="822959"/>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7F0279-1BD7-5C4F-8257-DCBE5F589CF4}">
      <dsp:nvSpPr>
        <dsp:cNvPr id="0" name=""/>
        <dsp:cNvSpPr/>
      </dsp:nvSpPr>
      <dsp:spPr>
        <a:xfrm rot="10800000">
          <a:off x="1658438" y="3970451"/>
          <a:ext cx="5767431" cy="951915"/>
        </a:xfrm>
        <a:prstGeom prst="homePlate">
          <a:avLst/>
        </a:prstGeom>
        <a:solidFill>
          <a:srgbClr val="F7823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768" tIns="49530" rIns="92456" bIns="49530" numCol="1" spcCol="1270" anchor="ctr" anchorCtr="0">
          <a:noAutofit/>
        </a:bodyPr>
        <a:lstStyle/>
        <a:p>
          <a:pPr marL="0" lvl="0" indent="0" algn="l" defTabSz="555625">
            <a:lnSpc>
              <a:spcPct val="90000"/>
            </a:lnSpc>
            <a:spcBef>
              <a:spcPct val="0"/>
            </a:spcBef>
            <a:spcAft>
              <a:spcPct val="35000"/>
            </a:spcAft>
            <a:buFont typeface="+mj-lt"/>
            <a:buNone/>
          </a:pPr>
          <a:r>
            <a:rPr lang="en-US" sz="1250" kern="1200">
              <a:solidFill>
                <a:schemeClr val="tx1"/>
              </a:solidFill>
            </a:rPr>
            <a:t>Reflective practice helps teachers plan instruction by considering both student needs and curriculum requirements. Teachers who” teach up” know where students’ are in relation to the goals. They need to be careful observers in the classroom and ask themselves what’s working, what’s not working, and why.  </a:t>
          </a:r>
        </a:p>
      </dsp:txBody>
      <dsp:txXfrm rot="10800000">
        <a:off x="1896417" y="3970451"/>
        <a:ext cx="5529452" cy="951915"/>
      </dsp:txXfrm>
    </dsp:sp>
    <dsp:sp modelId="{03AAD59C-0399-C949-9B0F-5D5B9626BE13}">
      <dsp:nvSpPr>
        <dsp:cNvPr id="0" name=""/>
        <dsp:cNvSpPr/>
      </dsp:nvSpPr>
      <dsp:spPr>
        <a:xfrm>
          <a:off x="1246959" y="4034929"/>
          <a:ext cx="822959" cy="822959"/>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6000" r="-2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Dodson</dc:creator>
  <cp:keywords/>
  <dc:description/>
  <cp:lastModifiedBy>Angela Dodson</cp:lastModifiedBy>
  <cp:revision>5</cp:revision>
  <dcterms:created xsi:type="dcterms:W3CDTF">2021-04-09T17:46:00Z</dcterms:created>
  <dcterms:modified xsi:type="dcterms:W3CDTF">2021-04-22T17:36:00Z</dcterms:modified>
</cp:coreProperties>
</file>